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10/22/2025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completed the export history tracking system, allowing users to view previously generated reports with timestamps and file types. I also added a “re-download” option for convenience.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begin implementing export scheduling so users can automate recurring report generation.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export logs occasionally duplicate entries when simultaneous exports occur. I’ll refine the transaction control to prevent concurrency issues.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integrated the color-coded dashboard indicators. Performance issues are now highlighted with yellow or red badges based on severity. I also adjusted the metric polling rate to improve real-time responsiveness.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link the visual indicators with the alert threshold system so users can click an icon to view related logs directly.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indicators persist after the underlying issue is resolved due to cache timing. I’m syncing the cache invalidation logic with live metric updates.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finished the severity filter and added export functionality for alert logs. I also improved socket error recovery, reducing dropped sessions during network interruptions.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integrate user-defined alert categories and provide sorting options by date, type, or source.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When filtering by multiple criteria, the UI sometimes re-renders too frequently. I’m optimizing the state update cycle using memoization.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completed the “share theme” feature, allowing users to export and import theme presets via JSON files. I also added a confirmation modal for saving changes.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work on integrating user profile syncing so saved themes persist across devices.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imported themes fail validation if edited manually. I’m adding schema verification and auto-correction for incomplete files.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